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</w:pPr>
      <w:r>
        <w:rPr>
          <w:rFonts w:ascii="Arial" w:hAnsi="Arial"/>
          <w:b/>
          <w:i w:val="0"/>
          <w:color w:val="002444"/>
          <w:sz w:val="28"/>
        </w:rPr>
        <w:t>Luis Dueñas</w:t>
      </w:r>
    </w:p>
    <w:p>
      <w:pPr>
        <w:spacing w:before="0" w:after="40"/>
        <w:jc w:val="center"/>
      </w:pPr>
      <w:r>
        <w:rPr>
          <w:rFonts w:ascii="Arial" w:hAnsi="Arial"/>
          <w:b/>
          <w:i w:val="0"/>
          <w:color w:val="006A60"/>
          <w:sz w:val="19"/>
        </w:rPr>
        <w:t>Continuous Improvement Analyst</w:t>
      </w:r>
    </w:p>
    <w:p>
      <w:pPr>
        <w:spacing w:before="0" w:after="120" w:line="276" w:lineRule="auto"/>
        <w:jc w:val="center"/>
      </w:pPr>
      <w:r>
        <w:rPr>
          <w:rFonts w:ascii="Arial" w:hAnsi="Arial"/>
          <w:b w:val="0"/>
          <w:i w:val="0"/>
          <w:color w:val="555555"/>
          <w:sz w:val="18"/>
        </w:rPr>
        <w:t>Tijuana, B.C., Mexico | luisalbertoduenas17@gmail.com | linkedin.com/in/luisduenasn</w:t>
        <w:br/>
        <w:t>luisalbertoduenas.site | Mexico-based; open to U.S. opportunities that provide employment sponsorship.</w:t>
      </w:r>
    </w:p>
    <w:p>
      <w:pPr>
        <w:spacing w:before="140" w:after="40"/>
        <w:pBdr>
          <w:bottom w:val="single" w:sz="4" w:space="1" w:color="555555"/>
        </w:pBdr>
      </w:pPr>
      <w:r>
        <w:rPr>
          <w:rFonts w:ascii="Arial" w:hAnsi="Arial"/>
          <w:b/>
          <w:i w:val="0"/>
          <w:color w:val="002444"/>
          <w:sz w:val="19"/>
        </w:rPr>
        <w:t>PROFESSIONAL SUMMARY</w:t>
      </w:r>
    </w:p>
    <w:p>
      <w:pPr>
        <w:spacing w:before="20" w:after="40" w:line="276" w:lineRule="auto"/>
      </w:pPr>
      <w:r>
        <w:rPr>
          <w:rFonts w:ascii="Arial" w:hAnsi="Arial"/>
          <w:b w:val="0"/>
          <w:i w:val="0"/>
          <w:color w:val="333333"/>
          <w:sz w:val="18"/>
        </w:rPr>
        <w:t>Evidence-led improvement profile applying time studies, standard work, waste reduction, benefit validation, and implementation follow-up. Strengths include time study, baseline comparison, Kaizen documentation.</w:t>
      </w:r>
    </w:p>
    <w:p>
      <w:pPr>
        <w:spacing w:before="140" w:after="40"/>
        <w:pBdr>
          <w:bottom w:val="single" w:sz="4" w:space="1" w:color="555555"/>
        </w:pBdr>
      </w:pPr>
      <w:r>
        <w:rPr>
          <w:rFonts w:ascii="Arial" w:hAnsi="Arial"/>
          <w:b/>
          <w:i w:val="0"/>
          <w:color w:val="002444"/>
          <w:sz w:val="19"/>
        </w:rPr>
        <w:t>CORE SKILLS</w:t>
      </w:r>
    </w:p>
    <w:p>
      <w:pPr>
        <w:spacing w:before="10" w:after="10" w:line="276" w:lineRule="auto"/>
        <w:ind w:left="144"/>
      </w:pPr>
      <w:r>
        <w:rPr>
          <w:rFonts w:ascii="Arial" w:hAnsi="Arial"/>
          <w:b/>
          <w:i w:val="0"/>
          <w:color w:val="333333"/>
          <w:sz w:val="18"/>
        </w:rPr>
        <w:t xml:space="preserve">Improvement Methods: </w:t>
      </w:r>
      <w:r>
        <w:rPr>
          <w:rFonts w:ascii="Arial" w:hAnsi="Arial"/>
          <w:b w:val="0"/>
          <w:i w:val="0"/>
          <w:color w:val="333333"/>
          <w:sz w:val="18"/>
        </w:rPr>
        <w:t>time study, standard work, waste reduction.</w:t>
      </w:r>
    </w:p>
    <w:p>
      <w:pPr>
        <w:spacing w:before="10" w:after="10" w:line="276" w:lineRule="auto"/>
        <w:ind w:left="144"/>
      </w:pPr>
      <w:r>
        <w:rPr>
          <w:rFonts w:ascii="Arial" w:hAnsi="Arial"/>
          <w:b/>
          <w:i w:val="0"/>
          <w:color w:val="333333"/>
          <w:sz w:val="18"/>
        </w:rPr>
        <w:t xml:space="preserve">Benefit Validation: </w:t>
      </w:r>
      <w:r>
        <w:rPr>
          <w:rFonts w:ascii="Arial" w:hAnsi="Arial"/>
          <w:b w:val="0"/>
          <w:i w:val="0"/>
          <w:color w:val="333333"/>
          <w:sz w:val="18"/>
        </w:rPr>
        <w:t>baseline comparison, savings classification, annualization controls.</w:t>
      </w:r>
    </w:p>
    <w:p>
      <w:pPr>
        <w:spacing w:before="10" w:after="10" w:line="276" w:lineRule="auto"/>
        <w:ind w:left="144"/>
      </w:pPr>
      <w:r>
        <w:rPr>
          <w:rFonts w:ascii="Arial" w:hAnsi="Arial"/>
          <w:b/>
          <w:i w:val="0"/>
          <w:color w:val="333333"/>
          <w:sz w:val="18"/>
        </w:rPr>
        <w:t xml:space="preserve">Implementation: </w:t>
      </w:r>
      <w:r>
        <w:rPr>
          <w:rFonts w:ascii="Arial" w:hAnsi="Arial"/>
          <w:b w:val="0"/>
          <w:i w:val="0"/>
          <w:color w:val="333333"/>
          <w:sz w:val="18"/>
        </w:rPr>
        <w:t>Kaizen documentation, visual standards, follow-up.</w:t>
      </w:r>
    </w:p>
    <w:p>
      <w:pPr>
        <w:spacing w:before="10" w:after="10" w:line="276" w:lineRule="auto"/>
        <w:ind w:left="144"/>
      </w:pPr>
      <w:r>
        <w:rPr>
          <w:rFonts w:ascii="Arial" w:hAnsi="Arial"/>
          <w:b/>
          <w:i w:val="0"/>
          <w:color w:val="333333"/>
          <w:sz w:val="18"/>
        </w:rPr>
        <w:t xml:space="preserve">Delivery Focus: </w:t>
      </w:r>
      <w:r>
        <w:rPr>
          <w:rFonts w:ascii="Arial" w:hAnsi="Arial"/>
          <w:b w:val="0"/>
          <w:i w:val="0"/>
          <w:color w:val="333333"/>
          <w:sz w:val="18"/>
        </w:rPr>
        <w:t>evidence classification, cross-functional follow-up, and decision-ready communication.</w:t>
      </w:r>
    </w:p>
    <w:p>
      <w:pPr>
        <w:spacing w:before="140" w:after="40"/>
        <w:pBdr>
          <w:bottom w:val="single" w:sz="4" w:space="1" w:color="555555"/>
        </w:pBdr>
      </w:pPr>
      <w:r>
        <w:rPr>
          <w:rFonts w:ascii="Arial" w:hAnsi="Arial"/>
          <w:b/>
          <w:i w:val="0"/>
          <w:color w:val="002444"/>
          <w:sz w:val="19"/>
        </w:rPr>
        <w:t>PROFESSIONAL EXPERIENCE</w:t>
      </w:r>
    </w:p>
    <w:p>
      <w:pPr>
        <w:tabs>
          <w:tab w:pos="10512" w:val="right"/>
        </w:tabs>
        <w:spacing w:before="10" w:after="20"/>
      </w:pPr>
      <w:r>
        <w:rPr>
          <w:rFonts w:ascii="Arial" w:hAnsi="Arial"/>
          <w:b/>
          <w:i w:val="0"/>
          <w:color w:val="002444"/>
          <w:sz w:val="19"/>
        </w:rPr>
        <w:t>HARMAN International — Business Analyst Jr. / Digital Operations</w:t>
      </w:r>
      <w:r>
        <w:rPr>
          <w:rFonts w:ascii="Arial" w:hAnsi="Arial"/>
          <w:b w:val="0"/>
          <w:i w:val="0"/>
          <w:color w:val="555555"/>
          <w:sz w:val="18"/>
        </w:rPr>
        <w:tab/>
        <w:t>Oct 2025 – Present</w:t>
      </w:r>
    </w:p>
    <w:p>
      <w:pPr>
        <w:tabs>
          <w:tab w:pos="10512" w:val="right"/>
        </w:tabs>
        <w:spacing w:before="0" w:after="40"/>
      </w:pPr>
      <w:r>
        <w:rPr>
          <w:rFonts w:ascii="Arial" w:hAnsi="Arial"/>
          <w:b w:val="0"/>
          <w:i/>
          <w:color w:val="555555"/>
          <w:sz w:val="18"/>
        </w:rPr>
        <w:t>Tijuana, B.C., Mexico</w:t>
      </w:r>
    </w:p>
    <w:p>
      <w:pPr>
        <w:spacing w:before="20" w:after="30" w:line="276" w:lineRule="auto"/>
        <w:ind w:left="288" w:hanging="144"/>
      </w:pPr>
      <w:r>
        <w:rPr>
          <w:rFonts w:ascii="Arial" w:hAnsi="Arial"/>
          <w:b/>
          <w:i w:val="0"/>
          <w:color w:val="006A60"/>
          <w:sz w:val="18"/>
        </w:rPr>
        <w:t xml:space="preserve">•  </w:t>
      </w:r>
      <w:r>
        <w:rPr>
          <w:rFonts w:ascii="Arial" w:hAnsi="Arial"/>
          <w:b w:val="0"/>
          <w:i w:val="0"/>
          <w:color w:val="333333"/>
          <w:sz w:val="18"/>
        </w:rPr>
        <w:t>Reduced Visual Picking model-change cycle time from 27.4 to 10.3 minutes, a 62.4% improvement, releasing an estimated 572.28 labor hours per year based on 8 orders per day across 251 operating days.</w:t>
      </w:r>
    </w:p>
    <w:p>
      <w:pPr>
        <w:spacing w:before="20" w:after="30" w:line="276" w:lineRule="auto"/>
        <w:ind w:left="288" w:hanging="144"/>
      </w:pPr>
      <w:r>
        <w:rPr>
          <w:rFonts w:ascii="Arial" w:hAnsi="Arial"/>
          <w:b/>
          <w:i w:val="0"/>
          <w:color w:val="006A60"/>
          <w:sz w:val="18"/>
        </w:rPr>
        <w:t xml:space="preserve">•  </w:t>
      </w:r>
      <w:r>
        <w:rPr>
          <w:rFonts w:ascii="Arial" w:hAnsi="Arial"/>
          <w:b w:val="0"/>
          <w:i w:val="0"/>
          <w:color w:val="333333"/>
          <w:sz w:val="18"/>
        </w:rPr>
        <w:t>Quantified USD 82,300 in annual soft savings across PFEP and pick-list improvements without combining the separate MRO cost-avoidance category.</w:t>
      </w:r>
    </w:p>
    <w:p>
      <w:pPr>
        <w:spacing w:before="20" w:after="30" w:line="276" w:lineRule="auto"/>
        <w:ind w:left="288" w:hanging="144"/>
      </w:pPr>
      <w:r>
        <w:rPr>
          <w:rFonts w:ascii="Arial" w:hAnsi="Arial"/>
          <w:b/>
          <w:i w:val="0"/>
          <w:color w:val="006A60"/>
          <w:sz w:val="18"/>
        </w:rPr>
        <w:t xml:space="preserve">•  </w:t>
      </w:r>
      <w:r>
        <w:rPr>
          <w:rFonts w:ascii="Arial" w:hAnsi="Arial"/>
          <w:b w:val="0"/>
          <w:i w:val="0"/>
          <w:color w:val="333333"/>
          <w:sz w:val="18"/>
        </w:rPr>
        <w:t>Apply time studies, process mapping, visual controls, and standard work to improve Material Flow and warehouse processes.</w:t>
      </w:r>
    </w:p>
    <w:p>
      <w:r>
        <w:rPr>
          <w:rFonts w:ascii="Arial" w:hAnsi="Arial"/>
          <w:b/>
          <w:i w:val="0"/>
          <w:color w:val="006A60"/>
          <w:sz w:val="18"/>
        </w:rPr>
        <w:t xml:space="preserve">•  </w:t>
      </w:r>
      <w:r>
        <w:rPr>
          <w:rFonts w:ascii="Arial" w:hAnsi="Arial"/>
          <w:b w:val="0"/>
          <w:i w:val="0"/>
          <w:color w:val="333333"/>
          <w:sz w:val="18"/>
        </w:rPr>
        <w:t>Separate measured, projected, recurring, and proposal-stage benefits while coordinating implementation and follow-up.</w:t>
      </w:r>
    </w:p>
    <w:p>
      <w:pPr>
        <w:tabs>
          <w:tab w:pos="10512" w:val="right"/>
        </w:tabs>
        <w:spacing w:before="40" w:after="20"/>
      </w:pPr>
      <w:r>
        <w:rPr>
          <w:rFonts w:ascii="Arial" w:hAnsi="Arial"/>
          <w:b/>
          <w:i w:val="0"/>
          <w:color w:val="002444"/>
          <w:sz w:val="19"/>
        </w:rPr>
        <w:t>HARMAN International — Industrial Engineering Intern</w:t>
      </w:r>
      <w:r>
        <w:rPr>
          <w:rFonts w:ascii="Arial" w:hAnsi="Arial"/>
          <w:b w:val="0"/>
          <w:i w:val="0"/>
          <w:color w:val="555555"/>
          <w:sz w:val="18"/>
        </w:rPr>
        <w:tab/>
        <w:t>Oct 2024 – Oct 2025</w:t>
      </w:r>
    </w:p>
    <w:p>
      <w:pPr>
        <w:tabs>
          <w:tab w:pos="10512" w:val="right"/>
        </w:tabs>
        <w:spacing w:before="0" w:after="40"/>
      </w:pPr>
      <w:r>
        <w:rPr>
          <w:rFonts w:ascii="Arial" w:hAnsi="Arial"/>
          <w:b w:val="0"/>
          <w:i/>
          <w:color w:val="555555"/>
          <w:sz w:val="18"/>
        </w:rPr>
        <w:t>Tijuana, B.C., Mexico</w:t>
      </w:r>
    </w:p>
    <w:p>
      <w:pPr>
        <w:spacing w:before="20" w:after="30" w:line="276" w:lineRule="auto"/>
        <w:ind w:left="288" w:hanging="144"/>
      </w:pPr>
      <w:r>
        <w:rPr>
          <w:rFonts w:ascii="Arial" w:hAnsi="Arial"/>
          <w:b/>
          <w:i w:val="0"/>
          <w:color w:val="006A60"/>
          <w:sz w:val="18"/>
        </w:rPr>
        <w:t xml:space="preserve">•  </w:t>
      </w:r>
      <w:r>
        <w:rPr>
          <w:rFonts w:ascii="Arial" w:hAnsi="Arial"/>
          <w:b w:val="0"/>
          <w:i w:val="0"/>
          <w:color w:val="333333"/>
          <w:sz w:val="18"/>
        </w:rPr>
        <w:t>Completed end-to-end MRO supplier onboarding that reduced ESD-bin lead time from 5–6 weeks to 1 week and yielded approximately USD 12,000 in annual cost avoidance.</w:t>
      </w:r>
    </w:p>
    <w:p>
      <w:pPr>
        <w:spacing w:before="20" w:after="30" w:line="276" w:lineRule="auto"/>
        <w:ind w:left="288" w:hanging="144"/>
      </w:pPr>
      <w:r>
        <w:rPr>
          <w:rFonts w:ascii="Arial" w:hAnsi="Arial"/>
          <w:b/>
          <w:i w:val="0"/>
          <w:color w:val="006A60"/>
          <w:sz w:val="18"/>
        </w:rPr>
        <w:t xml:space="preserve">•  </w:t>
      </w:r>
      <w:r>
        <w:rPr>
          <w:rFonts w:ascii="Arial" w:hAnsi="Arial"/>
          <w:b w:val="0"/>
          <w:i w:val="0"/>
          <w:color w:val="333333"/>
          <w:sz w:val="18"/>
        </w:rPr>
        <w:t>Performed time studies, process observations, and waste analysis before defining improved methods.</w:t>
      </w:r>
    </w:p>
    <w:p>
      <w:pPr>
        <w:spacing w:before="20" w:after="30" w:line="276" w:lineRule="auto"/>
        <w:ind w:left="288" w:hanging="144"/>
      </w:pPr>
      <w:r>
        <w:rPr>
          <w:rFonts w:ascii="Arial" w:hAnsi="Arial"/>
          <w:b/>
          <w:i w:val="0"/>
          <w:color w:val="006A60"/>
          <w:sz w:val="18"/>
        </w:rPr>
        <w:t xml:space="preserve">•  </w:t>
      </w:r>
      <w:r>
        <w:rPr>
          <w:rFonts w:ascii="Arial" w:hAnsi="Arial"/>
          <w:b w:val="0"/>
          <w:i w:val="0"/>
          <w:color w:val="333333"/>
          <w:sz w:val="18"/>
        </w:rPr>
        <w:t>Created visual controls and standardized PFEP, Kanban, part, and location information.</w:t>
      </w:r>
    </w:p>
    <w:p>
      <w:r>
        <w:rPr>
          <w:rFonts w:ascii="Arial" w:hAnsi="Arial"/>
          <w:b/>
          <w:i w:val="0"/>
          <w:color w:val="006A60"/>
          <w:sz w:val="18"/>
        </w:rPr>
        <w:t xml:space="preserve">•  </w:t>
      </w:r>
      <w:r>
        <w:rPr>
          <w:rFonts w:ascii="Arial" w:hAnsi="Arial"/>
          <w:b w:val="0"/>
          <w:i w:val="0"/>
          <w:color w:val="333333"/>
          <w:sz w:val="18"/>
        </w:rPr>
        <w:t>Supported implementation follow-up with warehouse, production, engineering, and procurement stakeholders.</w:t>
      </w:r>
    </w:p>
    <w:p>
      <w:pPr>
        <w:spacing w:before="140" w:after="40"/>
        <w:pBdr>
          <w:bottom w:val="single" w:sz="4" w:space="1" w:color="555555"/>
        </w:pBdr>
      </w:pPr>
      <w:r>
        <w:rPr>
          <w:rFonts w:ascii="Arial" w:hAnsi="Arial"/>
          <w:b/>
          <w:i w:val="0"/>
          <w:color w:val="002444"/>
          <w:sz w:val="19"/>
        </w:rPr>
        <w:t>SELECTED PROJECTS</w:t>
      </w:r>
    </w:p>
    <w:p>
      <w:pPr>
        <w:spacing w:before="30" w:after="30" w:line="276" w:lineRule="auto"/>
        <w:ind w:left="144"/>
      </w:pPr>
      <w:r>
        <w:rPr>
          <w:rFonts w:ascii="Arial" w:hAnsi="Arial"/>
          <w:b/>
          <w:i w:val="0"/>
          <w:color w:val="006A60"/>
          <w:sz w:val="18"/>
        </w:rPr>
        <w:t xml:space="preserve">Time Studies: </w:t>
      </w:r>
      <w:r>
        <w:rPr>
          <w:rFonts w:ascii="Arial" w:hAnsi="Arial"/>
          <w:b w:val="0"/>
          <w:i w:val="0"/>
          <w:color w:val="333333"/>
          <w:sz w:val="18"/>
        </w:rPr>
        <w:t>Measured current-state cycle time establishes the improvement baseline.</w:t>
      </w:r>
    </w:p>
    <w:p>
      <w:pPr>
        <w:spacing w:before="30" w:after="30" w:line="276" w:lineRule="auto"/>
        <w:ind w:left="144"/>
      </w:pPr>
      <w:r>
        <w:rPr>
          <w:rFonts w:ascii="Arial" w:hAnsi="Arial"/>
          <w:b/>
          <w:i w:val="0"/>
          <w:color w:val="006A60"/>
          <w:sz w:val="18"/>
        </w:rPr>
        <w:t xml:space="preserve">Standard Work: </w:t>
      </w:r>
      <w:r>
        <w:rPr>
          <w:rFonts w:ascii="Arial" w:hAnsi="Arial"/>
          <w:b w:val="0"/>
          <w:i w:val="0"/>
          <w:color w:val="333333"/>
          <w:sz w:val="18"/>
        </w:rPr>
        <w:t>Practical operating standards connect waste reduction with implementation.</w:t>
      </w:r>
    </w:p>
    <w:p>
      <w:pPr>
        <w:spacing w:before="30" w:after="30" w:line="276" w:lineRule="auto"/>
        <w:ind w:left="144"/>
      </w:pPr>
      <w:r>
        <w:rPr>
          <w:rFonts w:ascii="Arial" w:hAnsi="Arial"/>
          <w:b/>
          <w:i w:val="0"/>
          <w:color w:val="006A60"/>
          <w:sz w:val="18"/>
        </w:rPr>
        <w:t xml:space="preserve">Benefit Classification: </w:t>
      </w:r>
      <w:r>
        <w:rPr>
          <w:rFonts w:ascii="Arial" w:hAnsi="Arial"/>
          <w:b w:val="0"/>
          <w:i w:val="0"/>
          <w:color w:val="333333"/>
          <w:sz w:val="18"/>
        </w:rPr>
        <w:t>Measured, projected, and proposal-stage values remain distinct.</w:t>
      </w:r>
    </w:p>
    <w:p>
      <w:pPr>
        <w:spacing w:before="30" w:after="30" w:line="276" w:lineRule="auto"/>
        <w:ind w:left="144"/>
      </w:pPr>
      <w:r>
        <w:rPr>
          <w:rFonts w:ascii="Arial" w:hAnsi="Arial"/>
          <w:b/>
          <w:i w:val="0"/>
          <w:color w:val="006A60"/>
          <w:sz w:val="18"/>
        </w:rPr>
        <w:t xml:space="preserve">CAPEX Alternatives: </w:t>
      </w:r>
      <w:r>
        <w:rPr>
          <w:rFonts w:ascii="Arial" w:hAnsi="Arial"/>
          <w:b w:val="0"/>
          <w:i w:val="0"/>
          <w:color w:val="333333"/>
          <w:sz w:val="18"/>
        </w:rPr>
        <w:t>Proposal reduction is treated as a one-time comparison, not annual savings.</w:t>
      </w:r>
    </w:p>
    <w:p>
      <w:pPr>
        <w:spacing w:before="140" w:after="40"/>
        <w:pBdr>
          <w:bottom w:val="single" w:sz="4" w:space="1" w:color="555555"/>
        </w:pBdr>
      </w:pPr>
      <w:r>
        <w:rPr>
          <w:rFonts w:ascii="Arial" w:hAnsi="Arial"/>
          <w:b/>
          <w:i w:val="0"/>
          <w:color w:val="002444"/>
          <w:sz w:val="19"/>
        </w:rPr>
        <w:t>EDUCATION &amp; CERTIFICATIONS</w:t>
      </w:r>
    </w:p>
    <w:p>
      <w:pPr>
        <w:spacing w:before="20" w:after="30" w:line="276" w:lineRule="auto"/>
        <w:ind w:left="288" w:hanging="144"/>
      </w:pPr>
      <w:r>
        <w:rPr>
          <w:rFonts w:ascii="Arial" w:hAnsi="Arial"/>
          <w:b/>
          <w:i w:val="0"/>
          <w:color w:val="006A60"/>
          <w:sz w:val="18"/>
        </w:rPr>
        <w:t xml:space="preserve">•  </w:t>
      </w:r>
      <w:r>
        <w:rPr>
          <w:rFonts w:ascii="Arial" w:hAnsi="Arial"/>
          <w:b/>
          <w:i w:val="0"/>
          <w:color w:val="333333"/>
          <w:sz w:val="18"/>
        </w:rPr>
        <w:t xml:space="preserve">Education: </w:t>
      </w:r>
      <w:r>
        <w:rPr>
          <w:rFonts w:ascii="Arial" w:hAnsi="Arial"/>
          <w:b w:val="0"/>
          <w:i w:val="0"/>
          <w:color w:val="333333"/>
          <w:sz w:val="18"/>
        </w:rPr>
        <w:t>Industrial Engineering (Instituto Tecnológico de Tijuana).</w:t>
      </w:r>
    </w:p>
    <w:p>
      <w:pPr>
        <w:spacing w:before="10" w:after="20" w:line="276" w:lineRule="auto"/>
        <w:ind w:left="288" w:hanging="144"/>
      </w:pPr>
      <w:r>
        <w:rPr>
          <w:rFonts w:ascii="Arial" w:hAnsi="Arial"/>
          <w:b/>
          <w:i w:val="0"/>
          <w:color w:val="006A60"/>
          <w:sz w:val="18"/>
        </w:rPr>
        <w:t xml:space="preserve">•  </w:t>
      </w:r>
      <w:r>
        <w:rPr>
          <w:rFonts w:ascii="Arial" w:hAnsi="Arial"/>
          <w:b/>
          <w:i w:val="0"/>
          <w:color w:val="333333"/>
          <w:sz w:val="18"/>
        </w:rPr>
        <w:t xml:space="preserve">Certification: </w:t>
      </w:r>
      <w:r>
        <w:rPr>
          <w:rFonts w:ascii="Arial" w:hAnsi="Arial"/>
          <w:b w:val="0"/>
          <w:i w:val="0"/>
          <w:color w:val="333333"/>
          <w:sz w:val="18"/>
        </w:rPr>
        <w:t>Google Data Analytics Professional Certificate (Google, 2025).</w:t>
      </w:r>
    </w:p>
    <w:p>
      <w:pPr>
        <w:spacing w:before="10" w:after="20" w:line="276" w:lineRule="auto"/>
        <w:ind w:left="288" w:hanging="144"/>
      </w:pPr>
      <w:r>
        <w:rPr>
          <w:rFonts w:ascii="Arial" w:hAnsi="Arial"/>
          <w:b/>
          <w:i w:val="0"/>
          <w:color w:val="006A60"/>
          <w:sz w:val="18"/>
        </w:rPr>
        <w:t xml:space="preserve">•  </w:t>
      </w:r>
      <w:r>
        <w:rPr>
          <w:rFonts w:ascii="Arial" w:hAnsi="Arial"/>
          <w:b/>
          <w:i w:val="0"/>
          <w:color w:val="333333"/>
          <w:sz w:val="18"/>
        </w:rPr>
        <w:t xml:space="preserve">Certification: </w:t>
      </w:r>
      <w:r>
        <w:rPr>
          <w:rFonts w:ascii="Arial" w:hAnsi="Arial"/>
          <w:b w:val="0"/>
          <w:i w:val="0"/>
          <w:color w:val="333333"/>
          <w:sz w:val="18"/>
        </w:rPr>
        <w:t>Inventory Management, Supply Chain Planning &amp; Optimization (UC Irvine, 2025).</w:t>
      </w:r>
    </w:p>
    <w:p>
      <w:pPr>
        <w:spacing w:before="0" w:after="0" w:line="276" w:lineRule="auto"/>
        <w:ind w:left="288" w:hanging="144"/>
      </w:pPr>
    </w:p>
    <w:p>
      <w:pPr>
        <w:spacing w:before="0" w:after="0" w:line="276" w:lineRule="auto"/>
        <w:ind w:left="288" w:hanging="144"/>
      </w:pPr>
    </w:p>
    <w:p>
      <w:pPr>
        <w:spacing w:before="0" w:after="0" w:line="276" w:lineRule="auto"/>
        <w:ind w:left="288" w:hanging="144"/>
      </w:pPr>
    </w:p>
    <w:sectPr w:rsidR="00FC693F" w:rsidRPr="0006063C" w:rsidSect="00034616">
      <w:pgSz w:w="12240" w:h="15840"/>
      <w:pgMar w:top="864" w:right="864" w:bottom="864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color w:val="333333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linkedin.com/in/luisduenasn" TargetMode="External"/><Relationship Id="rId10" Type="http://schemas.openxmlformats.org/officeDocument/2006/relationships/hyperlink" Target="https://www.luisalbertoduenas.si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Luis Dueñas — Continuous Improvement Analyst</dc:title>
  <dc:subject>continuous_improvement</dc:subject>
  <dc:creator>Luis Dueñas</dc:creator>
  <cp:keywords>evidence-controlled role resume</cp:keywords>
  <dc:description>Generated from content/evidence.json, content/resumes.json, and content/resume-static.json.</dc:description>
  <cp:lastModifiedBy>Luis Alberto Duenas</cp:lastModifiedBy>
  <cp:revision>1</cp:revision>
  <dcterms:created xsi:type="dcterms:W3CDTF">2026-07-25T12:00:00Z</dcterms:created>
  <dcterms:modified xsi:type="dcterms:W3CDTF">2026-07-25T12:00:00Z</dcterms:modified>
  <cp:category/>
  <cp:lastPrinted>2026-07-25T12:00:00Z</cp:lastPrinted>
</cp:coreProperties>
</file>